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19B" w:rsidRPr="00D8119B" w:rsidRDefault="00D8119B" w:rsidP="00D8119B">
      <w:pPr>
        <w:spacing w:after="0" w:line="240" w:lineRule="exact"/>
        <w:ind w:firstLine="851"/>
        <w:contextualSpacing/>
        <w:jc w:val="both"/>
        <w:rPr>
          <w:rFonts w:ascii="Times New Roman" w:hAnsi="Times New Roman"/>
          <w:sz w:val="28"/>
          <w:szCs w:val="28"/>
        </w:rPr>
      </w:pPr>
      <w:bookmarkStart w:id="0" w:name="_GoBack"/>
      <w:bookmarkEnd w:id="0"/>
      <w:r>
        <w:rPr>
          <w:rFonts w:ascii="Times New Roman" w:hAnsi="Times New Roman"/>
          <w:sz w:val="28"/>
          <w:szCs w:val="28"/>
        </w:rPr>
        <w:t>«Прокурор разъясняет»</w:t>
      </w:r>
    </w:p>
    <w:p w:rsidR="00D8119B" w:rsidRPr="00D8119B" w:rsidRDefault="00D8119B" w:rsidP="00D8119B">
      <w:pPr>
        <w:spacing w:after="0" w:line="240" w:lineRule="exact"/>
        <w:ind w:firstLine="851"/>
        <w:contextualSpacing/>
        <w:jc w:val="both"/>
        <w:rPr>
          <w:rFonts w:ascii="Times New Roman" w:hAnsi="Times New Roman"/>
          <w:sz w:val="28"/>
          <w:szCs w:val="28"/>
        </w:rPr>
      </w:pPr>
    </w:p>
    <w:p w:rsidR="00D8119B" w:rsidRPr="00D8119B" w:rsidRDefault="00D8119B" w:rsidP="00D8119B">
      <w:pPr>
        <w:spacing w:after="0" w:line="240" w:lineRule="exact"/>
        <w:ind w:firstLine="851"/>
        <w:contextualSpacing/>
        <w:jc w:val="both"/>
        <w:rPr>
          <w:rFonts w:ascii="Times New Roman" w:hAnsi="Times New Roman"/>
          <w:b/>
          <w:sz w:val="28"/>
          <w:szCs w:val="28"/>
        </w:rPr>
      </w:pPr>
      <w:r w:rsidRPr="00D8119B">
        <w:rPr>
          <w:rFonts w:ascii="Times New Roman" w:hAnsi="Times New Roman"/>
          <w:b/>
          <w:sz w:val="28"/>
          <w:szCs w:val="28"/>
        </w:rPr>
        <w:t>Представительство в судах</w:t>
      </w:r>
    </w:p>
    <w:p w:rsidR="00D8119B" w:rsidRPr="00D8119B" w:rsidRDefault="00D8119B" w:rsidP="00D8119B">
      <w:pPr>
        <w:spacing w:after="0" w:line="240" w:lineRule="exact"/>
        <w:ind w:firstLine="851"/>
        <w:contextualSpacing/>
        <w:jc w:val="both"/>
        <w:rPr>
          <w:rFonts w:ascii="Times New Roman" w:hAnsi="Times New Roman"/>
          <w:sz w:val="28"/>
          <w:szCs w:val="28"/>
        </w:rPr>
      </w:pP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По общему правилу, представителями в гражданском или административном судопроизводстве в районных и мировых судах могут быть дееспособные лица, полномочия которых на ведение дела подтверждены нотариальной доверенностью или доверенностью юридического лица и имеющие при себе документ, удостоверяющий личность.</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К участию в пересмотре гражданских дел в судах апелляционной и кассационной инстанции, а также во всех судебных инстанциях, рассматривающих административные дела в порядке, установленном Кодексом административного судопроизводства РФ, допускаются только адвокаты или иные лица, имеющие высшее юридическое образование либо ученую степень по юридической специальности.</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Адвокаты должны представить суду удостоверяющие их статус и полномочия документы, например, ордер, доверенность на участие в данном деле, иные представители – документ об образовании, нотариальную доверенность или доверенность от юридического лица.</w:t>
      </w:r>
    </w:p>
    <w:p w:rsidR="007C4B75"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Прокурор, участвующий в деле, не обязан представлять вышеназванные документы, поскольку в силу закона на службу в органы прокуратуры принимаются граждане Российской Федерации, получившие высшее юридическое образование по имеющим государственную аккредитацию образовательным программам.</w:t>
      </w:r>
    </w:p>
    <w:p w:rsidR="00D8119B" w:rsidRDefault="00D8119B" w:rsidP="00D8119B">
      <w:pPr>
        <w:spacing w:after="0" w:line="240" w:lineRule="auto"/>
        <w:ind w:firstLine="851"/>
        <w:contextualSpacing/>
        <w:jc w:val="both"/>
        <w:rPr>
          <w:rFonts w:ascii="Times New Roman" w:hAnsi="Times New Roman"/>
          <w:sz w:val="28"/>
          <w:szCs w:val="28"/>
        </w:rPr>
      </w:pPr>
    </w:p>
    <w:p w:rsidR="00D8119B" w:rsidRPr="00D8119B" w:rsidRDefault="00D8119B" w:rsidP="00D8119B">
      <w:pPr>
        <w:spacing w:after="0" w:line="240" w:lineRule="auto"/>
        <w:ind w:firstLine="851"/>
        <w:contextualSpacing/>
        <w:jc w:val="both"/>
        <w:rPr>
          <w:rFonts w:ascii="Times New Roman" w:hAnsi="Times New Roman"/>
          <w:b/>
          <w:sz w:val="28"/>
          <w:szCs w:val="28"/>
        </w:rPr>
      </w:pPr>
      <w:r w:rsidRPr="00D8119B">
        <w:rPr>
          <w:rFonts w:ascii="Times New Roman" w:hAnsi="Times New Roman"/>
          <w:b/>
          <w:sz w:val="28"/>
          <w:szCs w:val="28"/>
        </w:rPr>
        <w:t>Порядок обращения работника в суд за разрешением индивидуального трудового спора</w:t>
      </w:r>
    </w:p>
    <w:p w:rsidR="00D8119B" w:rsidRPr="00D8119B" w:rsidRDefault="00D8119B" w:rsidP="00D8119B">
      <w:pPr>
        <w:spacing w:after="0" w:line="240" w:lineRule="auto"/>
        <w:ind w:firstLine="851"/>
        <w:contextualSpacing/>
        <w:jc w:val="both"/>
        <w:rPr>
          <w:rFonts w:ascii="Times New Roman" w:hAnsi="Times New Roman"/>
          <w:b/>
          <w:sz w:val="28"/>
          <w:szCs w:val="28"/>
        </w:rPr>
      </w:pP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В соответствии со ст. 392 Трудового кодекса Российской Федерации работник имеет право обратиться в суд за разрешением индивидуального трудового спора в течение 3 месяцев со дня, когда он узнал или должен был узнать о нарушении своего права, а по спорам об увольнении - в течение 1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1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Лицам, не реализовавшим свое право на обращение в суд в указанный срок по уважительным причинам, предоставляется возможность восстановить этот срок в судебном порядке.</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lastRenderedPageBreak/>
        <w:t xml:space="preserve">В силу п. 16 Постановления Пленума Верховного Суда РФ от 29.05.2018 № 15 «О применении судами законодательства, регулирующего труд работников, работающих у работодателей - физических лиц и у работодателей - субъектов малого предпринимательства, которые отнесены к </w:t>
      </w:r>
      <w:proofErr w:type="spellStart"/>
      <w:r w:rsidRPr="00D8119B">
        <w:rPr>
          <w:rFonts w:ascii="Times New Roman" w:hAnsi="Times New Roman"/>
          <w:sz w:val="28"/>
          <w:szCs w:val="28"/>
        </w:rPr>
        <w:t>микропредприятиям</w:t>
      </w:r>
      <w:proofErr w:type="spellEnd"/>
      <w:r w:rsidRPr="00D8119B">
        <w:rPr>
          <w:rFonts w:ascii="Times New Roman" w:hAnsi="Times New Roman"/>
          <w:sz w:val="28"/>
          <w:szCs w:val="28"/>
        </w:rPr>
        <w:t>» в качестве уважительных причин пропуска срока для обращения в суд могут расцениваться обстоятельства, объективно препятствовавшие работнику своевременно обратиться в суд за разрешением индивидуального трудового спора, как то: болезнь работника, нахождение его в командировке, невозможность обращения в суд вследствие непреодолимой силы, необходимости осуществления ухода за тяжелобольными членами семьи и т.п.</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К уважительным причинам пропуска срока на обращение в суд за разрешением индивидуального трудового спора может быть также отнесено и обращение работника с нарушением правил подсудности в другой суд, если первоначальное заявление по названному спору было подано этим работником в установленный статьей 392 ТК РФ срок.</w:t>
      </w:r>
    </w:p>
    <w:p w:rsid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Также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(или) в государственную инспекцию труда, которыми в отношении работодателя было принято соответствующее решение об устранении нарушений трудовых прав работника, вследствие чего у работника возникли правомерные ожидания, что его права будут восстановлены во внесудебном порядке.</w:t>
      </w:r>
    </w:p>
    <w:p w:rsidR="00D8119B" w:rsidRDefault="00D8119B" w:rsidP="00D8119B">
      <w:pPr>
        <w:spacing w:after="0" w:line="240" w:lineRule="auto"/>
        <w:ind w:firstLine="851"/>
        <w:contextualSpacing/>
        <w:jc w:val="both"/>
        <w:rPr>
          <w:rFonts w:ascii="Times New Roman" w:hAnsi="Times New Roman"/>
          <w:sz w:val="28"/>
          <w:szCs w:val="28"/>
        </w:rPr>
      </w:pPr>
    </w:p>
    <w:p w:rsidR="00D8119B" w:rsidRDefault="00D8119B" w:rsidP="00D8119B">
      <w:pPr>
        <w:spacing w:after="0" w:line="240" w:lineRule="auto"/>
        <w:ind w:firstLine="851"/>
        <w:contextualSpacing/>
        <w:jc w:val="both"/>
        <w:rPr>
          <w:rFonts w:ascii="Times New Roman" w:hAnsi="Times New Roman"/>
          <w:sz w:val="28"/>
          <w:szCs w:val="28"/>
        </w:rPr>
      </w:pPr>
    </w:p>
    <w:p w:rsidR="00D8119B" w:rsidRPr="00D8119B" w:rsidRDefault="00D8119B" w:rsidP="00D8119B">
      <w:pPr>
        <w:spacing w:after="0" w:line="240" w:lineRule="auto"/>
        <w:ind w:firstLine="851"/>
        <w:contextualSpacing/>
        <w:jc w:val="both"/>
        <w:rPr>
          <w:rFonts w:ascii="Times New Roman" w:hAnsi="Times New Roman"/>
          <w:b/>
          <w:sz w:val="28"/>
          <w:szCs w:val="28"/>
        </w:rPr>
      </w:pPr>
      <w:r w:rsidRPr="00D8119B">
        <w:rPr>
          <w:rFonts w:ascii="Times New Roman" w:hAnsi="Times New Roman"/>
          <w:b/>
          <w:sz w:val="28"/>
          <w:szCs w:val="28"/>
        </w:rPr>
        <w:t xml:space="preserve">Недостоверные сведения о юридическом лице. Ответственность. </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С 2016 года налоговые органы наделены правом внесения в Единый государственный реестр юридических лиц (ЕГРЮЛ) записи о недостоверности сведений об адресе, месте нахождения юридического лица, руководителе и (или) учредителе (участнике) юридического лица.</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Подобная запись вносится налоговым органом на основании результатов проверки без заявления юридического лица или судебного акта.</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Запись в ЕГРЮЛ производится по истечении 30 дней с момента направления в адрес юридического лица уведомления о необходимости представления достоверных сведений, оставленного без ответа, либо поступления документов, не свидетельствующих о достоверности сведений.</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По истечении шести месяцев с момента внесения в реестр записи о недостоверности сведений юридическое лицо может быть исключено из ЕГРЮЛ по решению налогового органа.</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 xml:space="preserve">Однако, если не позднее 3-х месяцев со дня опубликования такого решения его представитель или иные лица, чьи права и законные интересы затрагиваются направят в налоговый орган мотивированное заявление о </w:t>
      </w:r>
      <w:r w:rsidRPr="00D8119B">
        <w:rPr>
          <w:rFonts w:ascii="Times New Roman" w:hAnsi="Times New Roman"/>
          <w:sz w:val="28"/>
          <w:szCs w:val="28"/>
        </w:rPr>
        <w:lastRenderedPageBreak/>
        <w:t>достоверности сведений, решение об исключении организации из реестра не принимается.</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Руководитель и (или) учредители (участники) таких юридических лиц с момента внесения записи о недостоверности названных выше сведений в ЕГРЮЛ на 3 года ограничиваются в праве стать учредителем (участником) другого юридического лица либо без доверенности действовать от имени юридического лица.</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За предоставление в налоговый орган ложных сведений предусмотрена административная ответственность в виде дисквалификации должностных лиц на срок от одного года до трех лет (ч.5 ст. 14.25 Кодекса РФ об административных правонарушениях).</w:t>
      </w:r>
    </w:p>
    <w:p w:rsid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Предоставление заведомо ложных сведений в целях фальсификации ЕГРЮЛ влечет уголовную ответственность по ст. 170.1 Уголовного кодекса РФ, максимальное наказание по которой 2 года лишения свободы со штрафом 100 тыс. руб.</w:t>
      </w:r>
    </w:p>
    <w:p w:rsidR="00D8119B" w:rsidRDefault="00D8119B" w:rsidP="00D8119B">
      <w:pPr>
        <w:spacing w:after="0" w:line="240" w:lineRule="auto"/>
        <w:ind w:firstLine="851"/>
        <w:contextualSpacing/>
        <w:jc w:val="both"/>
        <w:rPr>
          <w:rFonts w:ascii="Times New Roman" w:hAnsi="Times New Roman"/>
          <w:sz w:val="28"/>
          <w:szCs w:val="28"/>
        </w:rPr>
      </w:pPr>
    </w:p>
    <w:p w:rsidR="00D8119B" w:rsidRPr="00D8119B" w:rsidRDefault="00D8119B" w:rsidP="00D8119B">
      <w:pPr>
        <w:spacing w:after="0" w:line="240" w:lineRule="auto"/>
        <w:ind w:firstLine="851"/>
        <w:contextualSpacing/>
        <w:jc w:val="both"/>
        <w:rPr>
          <w:rFonts w:ascii="Times New Roman" w:hAnsi="Times New Roman"/>
          <w:b/>
          <w:sz w:val="28"/>
          <w:szCs w:val="28"/>
        </w:rPr>
      </w:pPr>
    </w:p>
    <w:p w:rsidR="00D8119B" w:rsidRPr="00D8119B" w:rsidRDefault="00D8119B" w:rsidP="00D8119B">
      <w:pPr>
        <w:spacing w:after="0" w:line="240" w:lineRule="auto"/>
        <w:ind w:firstLine="851"/>
        <w:contextualSpacing/>
        <w:jc w:val="both"/>
        <w:rPr>
          <w:rFonts w:ascii="Times New Roman" w:hAnsi="Times New Roman"/>
          <w:b/>
          <w:sz w:val="28"/>
          <w:szCs w:val="28"/>
        </w:rPr>
      </w:pPr>
      <w:r w:rsidRPr="00D8119B">
        <w:rPr>
          <w:rFonts w:ascii="Times New Roman" w:hAnsi="Times New Roman"/>
          <w:b/>
          <w:sz w:val="28"/>
          <w:szCs w:val="28"/>
        </w:rPr>
        <w:t>Мелкая взятка. Ответственность.</w:t>
      </w:r>
    </w:p>
    <w:p w:rsidR="00D8119B" w:rsidRDefault="00D8119B" w:rsidP="00D8119B">
      <w:pPr>
        <w:spacing w:after="0" w:line="240" w:lineRule="auto"/>
        <w:ind w:firstLine="851"/>
        <w:contextualSpacing/>
        <w:jc w:val="both"/>
        <w:rPr>
          <w:rFonts w:ascii="Times New Roman" w:hAnsi="Times New Roman"/>
          <w:sz w:val="28"/>
          <w:szCs w:val="28"/>
        </w:rPr>
      </w:pP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Взятка –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Если размер взятки не превышает 10 тыс. руб., действия дающего и получающего ее лица квалифицируются как мелкое взяточничество, максимальное наказание за которое – 1 год лишения свободы.</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В случае, если виновный ранее судим за те же действия или посредничество во взяточничестве, максимальное наказание составит 3 года лишения свободы.</w:t>
      </w:r>
    </w:p>
    <w:p w:rsid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 xml:space="preserve">Виновное лицо освобождается от уголовной ответственности при добровольном сообщении в правоохранительные органы о факте преступления после его совершения, активном способствовании его раскрытию и расследованию, </w:t>
      </w:r>
      <w:proofErr w:type="gramStart"/>
      <w:r w:rsidRPr="00D8119B">
        <w:rPr>
          <w:rFonts w:ascii="Times New Roman" w:hAnsi="Times New Roman"/>
          <w:sz w:val="28"/>
          <w:szCs w:val="28"/>
        </w:rPr>
        <w:t>либо</w:t>
      </w:r>
      <w:proofErr w:type="gramEnd"/>
      <w:r w:rsidRPr="00D8119B">
        <w:rPr>
          <w:rFonts w:ascii="Times New Roman" w:hAnsi="Times New Roman"/>
          <w:sz w:val="28"/>
          <w:szCs w:val="28"/>
        </w:rPr>
        <w:t xml:space="preserve"> когда имело место вымогательство взятки.</w:t>
      </w:r>
    </w:p>
    <w:p w:rsidR="00D8119B" w:rsidRDefault="00D8119B" w:rsidP="00D8119B">
      <w:pPr>
        <w:spacing w:after="0" w:line="240" w:lineRule="auto"/>
        <w:ind w:firstLine="851"/>
        <w:contextualSpacing/>
        <w:jc w:val="both"/>
        <w:rPr>
          <w:rFonts w:ascii="Times New Roman" w:hAnsi="Times New Roman"/>
          <w:sz w:val="28"/>
          <w:szCs w:val="28"/>
        </w:rPr>
      </w:pPr>
    </w:p>
    <w:p w:rsidR="00D8119B" w:rsidRDefault="00D8119B" w:rsidP="00D8119B">
      <w:pPr>
        <w:spacing w:after="0" w:line="240" w:lineRule="auto"/>
        <w:ind w:firstLine="851"/>
        <w:contextualSpacing/>
        <w:jc w:val="both"/>
        <w:rPr>
          <w:rFonts w:ascii="Times New Roman" w:hAnsi="Times New Roman"/>
          <w:b/>
          <w:sz w:val="28"/>
          <w:szCs w:val="28"/>
        </w:rPr>
      </w:pPr>
      <w:r w:rsidRPr="00D8119B">
        <w:rPr>
          <w:rFonts w:ascii="Times New Roman" w:hAnsi="Times New Roman"/>
          <w:b/>
          <w:sz w:val="28"/>
          <w:szCs w:val="28"/>
        </w:rPr>
        <w:t xml:space="preserve">Когда должен быть заключен трудовой договор. </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Стать</w:t>
      </w:r>
      <w:r>
        <w:rPr>
          <w:rFonts w:ascii="Times New Roman" w:hAnsi="Times New Roman"/>
          <w:sz w:val="28"/>
          <w:szCs w:val="28"/>
        </w:rPr>
        <w:t>е</w:t>
      </w:r>
      <w:r w:rsidRPr="00D8119B">
        <w:rPr>
          <w:rFonts w:ascii="Times New Roman" w:hAnsi="Times New Roman"/>
          <w:sz w:val="28"/>
          <w:szCs w:val="28"/>
        </w:rPr>
        <w:t>й 15 Трудового кодекса Российской Федерации определено, что трудовые отношения - отношения, основанные на соглашении между работником и работодателем о личном выполнении работником за плату трудовой функции,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D8119B" w:rsidRPr="00D8119B" w:rsidRDefault="00D8119B" w:rsidP="00D8119B">
      <w:pPr>
        <w:spacing w:after="0" w:line="240" w:lineRule="auto"/>
        <w:ind w:firstLine="851"/>
        <w:contextualSpacing/>
        <w:jc w:val="both"/>
        <w:rPr>
          <w:rFonts w:ascii="Times New Roman" w:hAnsi="Times New Roman"/>
          <w:sz w:val="28"/>
          <w:szCs w:val="28"/>
        </w:rPr>
      </w:pP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lastRenderedPageBreak/>
        <w:t>Положения ч. 3 ст. 16 Трудового кодекса Российской Федерации устанавливают, что одним из оснований возникновения трудовых отношений между работником и работодателем является фактическое допущение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Согласно ст. 56 Трудового кодекса Российской Федерации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В соответствии с ч. 2 ст. 67 Трудового кодекса Российской Федерации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3 рабочих дней со дня фактического допущения работника к работе.</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Невыполнение указанной обязанности, а именно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административную ответственность по ч. 4 ст. 5.27 КоАП РФ.</w:t>
      </w:r>
    </w:p>
    <w:p w:rsid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Совершение данного правонарушения влечет наложение административного штрафа на должностных лиц в размере от 10 тысяч до 20 тысяч рублей; на юридических лиц - от 50 тысяч до 100 тысяч рублей.</w:t>
      </w:r>
    </w:p>
    <w:p w:rsidR="00D8119B" w:rsidRDefault="00D8119B" w:rsidP="00D8119B">
      <w:pPr>
        <w:spacing w:after="0" w:line="240" w:lineRule="auto"/>
        <w:ind w:firstLine="851"/>
        <w:contextualSpacing/>
        <w:jc w:val="both"/>
        <w:rPr>
          <w:rFonts w:ascii="Times New Roman" w:hAnsi="Times New Roman"/>
          <w:sz w:val="28"/>
          <w:szCs w:val="28"/>
        </w:rPr>
      </w:pPr>
    </w:p>
    <w:p w:rsidR="00D8119B" w:rsidRDefault="00D8119B" w:rsidP="00D8119B">
      <w:pPr>
        <w:spacing w:after="0" w:line="240" w:lineRule="auto"/>
        <w:ind w:firstLine="851"/>
        <w:contextualSpacing/>
        <w:jc w:val="both"/>
        <w:rPr>
          <w:rFonts w:ascii="Times New Roman" w:hAnsi="Times New Roman"/>
          <w:b/>
          <w:sz w:val="28"/>
          <w:szCs w:val="28"/>
        </w:rPr>
      </w:pPr>
      <w:r w:rsidRPr="00D8119B">
        <w:rPr>
          <w:rFonts w:ascii="Times New Roman" w:hAnsi="Times New Roman"/>
          <w:b/>
          <w:sz w:val="28"/>
          <w:szCs w:val="28"/>
        </w:rPr>
        <w:t>Государственная поддержка многодетных семей.</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Федеральным законодательством для семей с тремя и более детьми предусмотрены льготы и меры социальной поддержки.</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Согласно п. 6 ст. 39.5 Земельного кодекса Российской Федерации граждане, имеющие 3 и более детей, имеют право на бесплатное предоставление земельного участка, находящегося в государственной или муниципальной собственности.</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В соответствии со ст. 262.2 Трудового кодекса Российской Федерации работнику, имеющему 3 и более детей в возрасте до 12 лет, предоставляется ежегодный оплачиваемый отпуск по его желанию в удобное для него время.</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Гражданам, имеющих 3 и более детей предоставляются налоговые льготы по земельному налогу и налогу на имущество физических лиц (</w:t>
      </w:r>
      <w:proofErr w:type="spellStart"/>
      <w:r w:rsidRPr="00D8119B">
        <w:rPr>
          <w:rFonts w:ascii="Times New Roman" w:hAnsi="Times New Roman"/>
          <w:sz w:val="28"/>
          <w:szCs w:val="28"/>
        </w:rPr>
        <w:t>пп</w:t>
      </w:r>
      <w:proofErr w:type="spellEnd"/>
      <w:r w:rsidRPr="00D8119B">
        <w:rPr>
          <w:rFonts w:ascii="Times New Roman" w:hAnsi="Times New Roman"/>
          <w:sz w:val="28"/>
          <w:szCs w:val="28"/>
        </w:rPr>
        <w:t>. 10 п. 5 ст. 391, п. 6.1 ст. 403 Налогового кодекса Российской Федерации).</w:t>
      </w:r>
    </w:p>
    <w:p w:rsidR="00D8119B" w:rsidRPr="00D8119B" w:rsidRDefault="00D8119B" w:rsidP="00D8119B">
      <w:pPr>
        <w:spacing w:after="0" w:line="240" w:lineRule="auto"/>
        <w:ind w:firstLine="851"/>
        <w:contextualSpacing/>
        <w:jc w:val="both"/>
        <w:rPr>
          <w:rFonts w:ascii="Times New Roman" w:hAnsi="Times New Roman"/>
          <w:sz w:val="28"/>
          <w:szCs w:val="28"/>
        </w:rPr>
      </w:pPr>
    </w:p>
    <w:p w:rsid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lastRenderedPageBreak/>
        <w:t>Положениями Федерального закона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предусмотрена возможность полного или частичного погашения за счет бюджетных средств обязательств заемщика по ипотечному жилищному кредиту (займу) на сумму не более 450 тыс. руб. при условии рождения третьего или последующего ребенка в период с 1 января 2019 года по 31 декабря 2022 года.</w:t>
      </w:r>
    </w:p>
    <w:p w:rsidR="00D8119B" w:rsidRDefault="00D8119B" w:rsidP="00D8119B">
      <w:pPr>
        <w:spacing w:after="0" w:line="240" w:lineRule="auto"/>
        <w:ind w:firstLine="851"/>
        <w:contextualSpacing/>
        <w:jc w:val="both"/>
        <w:rPr>
          <w:rFonts w:ascii="Times New Roman" w:hAnsi="Times New Roman"/>
          <w:sz w:val="28"/>
          <w:szCs w:val="28"/>
        </w:rPr>
      </w:pPr>
    </w:p>
    <w:p w:rsidR="00D8119B" w:rsidRDefault="00D8119B" w:rsidP="00D8119B">
      <w:pPr>
        <w:spacing w:after="0" w:line="240" w:lineRule="auto"/>
        <w:ind w:firstLine="851"/>
        <w:contextualSpacing/>
        <w:jc w:val="both"/>
        <w:rPr>
          <w:rFonts w:ascii="Times New Roman" w:hAnsi="Times New Roman"/>
          <w:b/>
          <w:sz w:val="28"/>
          <w:szCs w:val="28"/>
        </w:rPr>
      </w:pPr>
      <w:r w:rsidRPr="00D8119B">
        <w:rPr>
          <w:rFonts w:ascii="Times New Roman" w:hAnsi="Times New Roman"/>
          <w:b/>
          <w:sz w:val="28"/>
          <w:szCs w:val="28"/>
        </w:rPr>
        <w:t>Возмещение расходов за представительство в суде</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В силу ст. 100 Гражданского процессуального кодекса Российской Федерации выигравшей стороне по ее письменному ходатайству суд присуждает с другой стороны расходы на оплату услуг представителя в разумных пределах.</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Разумными считаются такие расходы, которые при сравнимых обстоятельствах обычно взимаются за аналогичные услуги.</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Суд не вправе произвольно уменьшить размер сумм, взыскиваемых в качестве расходов по оплате услуг представителя, если другая сторона не заявляет возражений и не представляет доказательств чрезмерности данных сумм.</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Разумность судебных издержек на оплату услуг представителя не может быть обоснована его известностью.</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При отказе истца от иска он возмещает ответчику издержки, понесенные в связи с ведением дела.</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Если требования истца удовлетворены в добровольном порядке после предъявления иска, понесенные истцом по делу судебные расходы подлежат взысканию с ответчика.</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Расходы на оплату услуг представителей не возмещаются, если в суд за защитой прав, свобод и законных интересов других лиц обратились органы и организации (в том числе общества защиты прав потребителей).</w:t>
      </w:r>
    </w:p>
    <w:p w:rsid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 xml:space="preserve">Лицо, участвующее в деле, вправе обратиться в суд с заявлением о возмещении расходов на оплату услуг представителя и в том случае, если эти услуги оплачены после разрешения </w:t>
      </w:r>
      <w:proofErr w:type="gramStart"/>
      <w:r w:rsidRPr="00D8119B">
        <w:rPr>
          <w:rFonts w:ascii="Times New Roman" w:hAnsi="Times New Roman"/>
          <w:sz w:val="28"/>
          <w:szCs w:val="28"/>
        </w:rPr>
        <w:t>дела</w:t>
      </w:r>
      <w:proofErr w:type="gramEnd"/>
      <w:r w:rsidRPr="00D8119B">
        <w:rPr>
          <w:rFonts w:ascii="Times New Roman" w:hAnsi="Times New Roman"/>
          <w:sz w:val="28"/>
          <w:szCs w:val="28"/>
        </w:rPr>
        <w:t xml:space="preserve"> по существу.</w:t>
      </w:r>
    </w:p>
    <w:p w:rsidR="00D8119B" w:rsidRDefault="00D8119B" w:rsidP="00D8119B">
      <w:pPr>
        <w:spacing w:after="0" w:line="240" w:lineRule="auto"/>
        <w:ind w:firstLine="851"/>
        <w:contextualSpacing/>
        <w:jc w:val="both"/>
        <w:rPr>
          <w:rFonts w:ascii="Times New Roman" w:hAnsi="Times New Roman"/>
          <w:sz w:val="28"/>
          <w:szCs w:val="28"/>
        </w:rPr>
      </w:pPr>
    </w:p>
    <w:p w:rsidR="00D8119B" w:rsidRDefault="00D8119B" w:rsidP="00D8119B">
      <w:pPr>
        <w:spacing w:after="0" w:line="240" w:lineRule="auto"/>
        <w:ind w:firstLine="851"/>
        <w:contextualSpacing/>
        <w:jc w:val="both"/>
        <w:rPr>
          <w:rFonts w:ascii="Times New Roman" w:hAnsi="Times New Roman"/>
          <w:b/>
          <w:sz w:val="28"/>
          <w:szCs w:val="28"/>
        </w:rPr>
      </w:pPr>
      <w:r w:rsidRPr="00D8119B">
        <w:rPr>
          <w:rFonts w:ascii="Times New Roman" w:hAnsi="Times New Roman"/>
          <w:b/>
          <w:sz w:val="28"/>
          <w:szCs w:val="28"/>
        </w:rPr>
        <w:t>Правила проведения расчетов по оценке пожарного риска</w:t>
      </w:r>
    </w:p>
    <w:p w:rsidR="00D8119B" w:rsidRDefault="00D8119B" w:rsidP="00D8119B">
      <w:pPr>
        <w:spacing w:after="0" w:line="240" w:lineRule="auto"/>
        <w:ind w:firstLine="851"/>
        <w:contextualSpacing/>
        <w:jc w:val="both"/>
        <w:rPr>
          <w:rFonts w:ascii="Times New Roman" w:hAnsi="Times New Roman"/>
          <w:sz w:val="28"/>
          <w:szCs w:val="28"/>
        </w:rPr>
      </w:pP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Постановлением Правительства Российской Федерации 22.07.2020 № 1084 утверждены Правила проведения расчетов по оценке пожарного риска, которые начнут свое действие с 1 января 2021 года.</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 xml:space="preserve">Правила утверждены во исполнение Федерального закона от 22.07.2007 № 123-ФЗ «Технический регламент о требованиях пожарной безопасности», согласно которому расчеты по оценке пожарного риска являются составной частью декларации пожарной безопасности или декларации промышленной </w:t>
      </w:r>
      <w:r w:rsidRPr="00D8119B">
        <w:rPr>
          <w:rFonts w:ascii="Times New Roman" w:hAnsi="Times New Roman"/>
          <w:sz w:val="28"/>
          <w:szCs w:val="28"/>
        </w:rPr>
        <w:lastRenderedPageBreak/>
        <w:t>безопасности (на объектах, для которых они должны быть разработаны в соответствии с законодательством Российской Федерации).</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 xml:space="preserve">Правилами предусмотрено, что оценка пожарного риска проводится путем сопоставления расчетных величин </w:t>
      </w:r>
      <w:proofErr w:type="gramStart"/>
      <w:r w:rsidRPr="00D8119B">
        <w:rPr>
          <w:rFonts w:ascii="Times New Roman" w:hAnsi="Times New Roman"/>
          <w:sz w:val="28"/>
          <w:szCs w:val="28"/>
        </w:rPr>
        <w:t>пожарного  риска</w:t>
      </w:r>
      <w:proofErr w:type="gramEnd"/>
      <w:r w:rsidRPr="00D8119B">
        <w:rPr>
          <w:rFonts w:ascii="Times New Roman" w:hAnsi="Times New Roman"/>
          <w:sz w:val="28"/>
          <w:szCs w:val="28"/>
        </w:rPr>
        <w:t xml:space="preserve"> с соответствующими нормативными значениями пожарных рисков, установленных Федеральным законом № 123-ФЗ.</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Определение расчетных величин пожарного риска проводится по методикам, утверждаемым МЧС России, которые должны основываться на анализе пожарной опасности объекта защиты; определении частоты возникновения пожара (частоты реализации пожароопасных ситуаций); построении полей опасных факторов пожара для различных сценариев его развития; оценке последствий воздействия опасных факторов пожара на людей для различных сценариев его развития; учете состава системы обеспечения пожарной безопасности зданий и сооружений; учете степени опасности для группы людей в результате воздействия опасных факторов пожара, ведущих к гибели 10 человек и более, при проведении расчета по оценке социального пожарного риска.</w:t>
      </w:r>
    </w:p>
    <w:p w:rsidR="00D8119B" w:rsidRP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Результаты расчета по оценке пожарного риска оформляются в виде отчета, при этом предусмотрены исходные данные отчетов для зданий и сооружений, а также для производственных объектов защиты с наружными установками (оборудованием).</w:t>
      </w:r>
    </w:p>
    <w:p w:rsidR="00D8119B" w:rsidRDefault="00D8119B" w:rsidP="00D8119B">
      <w:pPr>
        <w:spacing w:after="0" w:line="240" w:lineRule="auto"/>
        <w:ind w:firstLine="851"/>
        <w:contextualSpacing/>
        <w:jc w:val="both"/>
        <w:rPr>
          <w:rFonts w:ascii="Times New Roman" w:hAnsi="Times New Roman"/>
          <w:sz w:val="28"/>
          <w:szCs w:val="28"/>
        </w:rPr>
      </w:pPr>
      <w:r w:rsidRPr="00D8119B">
        <w:rPr>
          <w:rFonts w:ascii="Times New Roman" w:hAnsi="Times New Roman"/>
          <w:sz w:val="28"/>
          <w:szCs w:val="28"/>
        </w:rPr>
        <w:t>Требования к порядку оформления отчета по результатам расчета по оценке пожарного риска устанавливаются нормативными документами по пожарной безопасности.</w:t>
      </w:r>
    </w:p>
    <w:p w:rsidR="00A42FC8" w:rsidRDefault="00A42FC8" w:rsidP="00D8119B">
      <w:pPr>
        <w:spacing w:after="0" w:line="240" w:lineRule="auto"/>
        <w:ind w:firstLine="851"/>
        <w:contextualSpacing/>
        <w:jc w:val="both"/>
        <w:rPr>
          <w:rFonts w:ascii="Times New Roman" w:hAnsi="Times New Roman"/>
          <w:sz w:val="28"/>
          <w:szCs w:val="28"/>
        </w:rPr>
      </w:pPr>
    </w:p>
    <w:p w:rsidR="00A42FC8" w:rsidRDefault="00A42FC8" w:rsidP="00D8119B">
      <w:pPr>
        <w:spacing w:after="0" w:line="240" w:lineRule="auto"/>
        <w:ind w:firstLine="851"/>
        <w:contextualSpacing/>
        <w:jc w:val="both"/>
        <w:rPr>
          <w:rFonts w:ascii="Times New Roman" w:hAnsi="Times New Roman"/>
          <w:b/>
          <w:sz w:val="28"/>
          <w:szCs w:val="28"/>
        </w:rPr>
      </w:pPr>
      <w:r w:rsidRPr="00A42FC8">
        <w:rPr>
          <w:rFonts w:ascii="Times New Roman" w:hAnsi="Times New Roman"/>
          <w:b/>
          <w:sz w:val="28"/>
          <w:szCs w:val="28"/>
        </w:rPr>
        <w:t xml:space="preserve">Новые требования для осуществления медицинской и фармацевтической деятельности </w:t>
      </w:r>
    </w:p>
    <w:p w:rsidR="00A42FC8" w:rsidRDefault="00A42FC8" w:rsidP="00D8119B">
      <w:pPr>
        <w:spacing w:after="0" w:line="240" w:lineRule="auto"/>
        <w:ind w:firstLine="851"/>
        <w:contextualSpacing/>
        <w:jc w:val="both"/>
        <w:rPr>
          <w:rFonts w:ascii="Times New Roman" w:hAnsi="Times New Roman"/>
          <w:b/>
          <w:sz w:val="28"/>
          <w:szCs w:val="28"/>
        </w:rPr>
      </w:pP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15.05.2020 Правительством Российской Федерации утверждены новые лицензионные требования к деятельности медицинских и фармацевтических организаций, а также организаций, осуществляющих производство лекарственных средств, направленные на снижение рисков, связанных с нелегальным оборотом лекарств.</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Согласно новым правилам, с 1 июля 2020 года для указанных организаций является обязательным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Кроме того, для организаций, осуществляющих непосредственно производство лекарственных средств также является обязательным регистрация в системе мониторинга движения лекарственных препаратов для медицинского применения и нанесение средства идентификации (QR-кодов) на первичную упаковку и вторичную (потребительскую) упаковку для последующей идентификации упаковок лекарственных препаратов.</w:t>
      </w:r>
    </w:p>
    <w:p w:rsidR="00A42FC8" w:rsidRPr="00A42FC8" w:rsidRDefault="00A42FC8" w:rsidP="00A42FC8">
      <w:pPr>
        <w:spacing w:after="0" w:line="240" w:lineRule="auto"/>
        <w:ind w:firstLine="851"/>
        <w:contextualSpacing/>
        <w:jc w:val="both"/>
        <w:rPr>
          <w:rFonts w:ascii="Times New Roman" w:hAnsi="Times New Roman"/>
          <w:sz w:val="28"/>
          <w:szCs w:val="28"/>
        </w:rPr>
      </w:pP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lastRenderedPageBreak/>
        <w:t>Указанные изменения позволят проверить данные о лекарственном препарате, дату производства и срок годности, а также предельную розничную цену. При этом у граждан появится возможность с помощью мобильного телефона самостоятельно проверить легальность приобретаемого (получаемого) лекарственного препарата и в случае выявления нарушений направить жалобу, что в свою очередь позволит повысить качество оказываемых медицинских услуг.</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 xml:space="preserve">Неисполнение организациями, участвующими в обороте лекарственных средств, данных лицензионных требований влечет административную ответственность, предусмотренную ч. 4 ст. 14.1 КоАП РФ, если велась предпринимательская деятельность. В случае, </w:t>
      </w:r>
      <w:proofErr w:type="gramStart"/>
      <w:r w:rsidRPr="00A42FC8">
        <w:rPr>
          <w:rFonts w:ascii="Times New Roman" w:hAnsi="Times New Roman"/>
          <w:sz w:val="28"/>
          <w:szCs w:val="28"/>
        </w:rPr>
        <w:t>если  деятельность</w:t>
      </w:r>
      <w:proofErr w:type="gramEnd"/>
      <w:r w:rsidRPr="00A42FC8">
        <w:rPr>
          <w:rFonts w:ascii="Times New Roman" w:hAnsi="Times New Roman"/>
          <w:sz w:val="28"/>
          <w:szCs w:val="28"/>
        </w:rPr>
        <w:t xml:space="preserve"> не была связана с извлечением прибыли, то ответственность наступает по ч. 3 ст. 19.20 КоАП РФ.</w:t>
      </w:r>
    </w:p>
    <w:p w:rsid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Для организаций обе нормы предусматривают штраф либо приостановление деятельности на срок до 90 суток. Размер штрафа в первом случае составляет от 100 тыс. до 200 тыс. руб., а во втором - от 150 тыс. до 250 тыс. руб.</w:t>
      </w:r>
    </w:p>
    <w:p w:rsidR="00A42FC8" w:rsidRDefault="00A42FC8" w:rsidP="00A42FC8">
      <w:pPr>
        <w:spacing w:after="0" w:line="240" w:lineRule="auto"/>
        <w:ind w:firstLine="851"/>
        <w:contextualSpacing/>
        <w:jc w:val="both"/>
        <w:rPr>
          <w:rFonts w:ascii="Times New Roman" w:hAnsi="Times New Roman"/>
          <w:sz w:val="28"/>
          <w:szCs w:val="28"/>
        </w:rPr>
      </w:pPr>
    </w:p>
    <w:p w:rsidR="00A42FC8" w:rsidRDefault="00A42FC8" w:rsidP="00A42FC8">
      <w:pPr>
        <w:spacing w:after="0" w:line="240" w:lineRule="auto"/>
        <w:ind w:firstLine="851"/>
        <w:contextualSpacing/>
        <w:jc w:val="both"/>
        <w:rPr>
          <w:rFonts w:ascii="Times New Roman" w:hAnsi="Times New Roman"/>
          <w:sz w:val="28"/>
          <w:szCs w:val="28"/>
        </w:rPr>
      </w:pPr>
    </w:p>
    <w:p w:rsidR="00A42FC8" w:rsidRPr="00A42FC8" w:rsidRDefault="00A42FC8" w:rsidP="00A42FC8">
      <w:pPr>
        <w:spacing w:after="0" w:line="240" w:lineRule="auto"/>
        <w:ind w:firstLine="851"/>
        <w:contextualSpacing/>
        <w:jc w:val="both"/>
        <w:rPr>
          <w:rFonts w:ascii="Times New Roman" w:hAnsi="Times New Roman"/>
          <w:b/>
          <w:sz w:val="28"/>
          <w:szCs w:val="28"/>
        </w:rPr>
      </w:pPr>
      <w:r w:rsidRPr="00A42FC8">
        <w:rPr>
          <w:rFonts w:ascii="Times New Roman" w:hAnsi="Times New Roman"/>
          <w:b/>
          <w:sz w:val="28"/>
          <w:szCs w:val="28"/>
        </w:rPr>
        <w:t>Особенности исполнения договора воздушной перевозки пассажира при угрозе возникновения и (или) возникновении отдельных чрезвычайных ситуаций, введении режима повышенной готовности или чрезвычайной ситуации</w:t>
      </w:r>
    </w:p>
    <w:p w:rsidR="00A42FC8" w:rsidRDefault="00A42FC8" w:rsidP="00A42FC8">
      <w:pPr>
        <w:spacing w:after="0" w:line="240" w:lineRule="auto"/>
        <w:ind w:firstLine="851"/>
        <w:contextualSpacing/>
        <w:jc w:val="both"/>
        <w:rPr>
          <w:rFonts w:ascii="Times New Roman" w:hAnsi="Times New Roman"/>
          <w:sz w:val="28"/>
          <w:szCs w:val="28"/>
        </w:rPr>
      </w:pP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Федеральным законом от 08.06.2020 № 166-ФЗ в Воздушный кодекс Российской Федерации введена статья 107.2, в соответствии с которой Правительство Российской Федерации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вправе установить на соответствующей территории особенности исполнения договора воздушной перевозки пассажира, в том числе право перевозчика в одностороннем порядке изменить условия такого договора или отказаться от его исполнения и возвратить уплаченную за воздушную перевозку пассажира провозную плату в порядке и сроки, которые установлены Правительством Российской Федерации.</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В случае отказа пассажира от воздушной перевозки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уплаченная за воздушную перевозку провозная плата подлежат возврату в порядке и сроки, которые установлены Правительством Российской Федерации.</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 xml:space="preserve">Постановлением Правительства РФ от 06.07.2020 № 991 утверждено Положение об особенностях исполнения договора воздушной перевозки пассажира, в том числе о праве перевозчика в одностороннем порядке изменить </w:t>
      </w:r>
      <w:r w:rsidRPr="00A42FC8">
        <w:rPr>
          <w:rFonts w:ascii="Times New Roman" w:hAnsi="Times New Roman"/>
          <w:sz w:val="28"/>
          <w:szCs w:val="28"/>
        </w:rPr>
        <w:lastRenderedPageBreak/>
        <w:t>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(далее - Положение).</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 xml:space="preserve">Так, в вышеуказанных </w:t>
      </w:r>
      <w:proofErr w:type="gramStart"/>
      <w:r w:rsidRPr="00A42FC8">
        <w:rPr>
          <w:rFonts w:ascii="Times New Roman" w:hAnsi="Times New Roman"/>
          <w:sz w:val="28"/>
          <w:szCs w:val="28"/>
        </w:rPr>
        <w:t>случаях  перевозчик</w:t>
      </w:r>
      <w:proofErr w:type="gramEnd"/>
      <w:r w:rsidRPr="00A42FC8">
        <w:rPr>
          <w:rFonts w:ascii="Times New Roman" w:hAnsi="Times New Roman"/>
          <w:sz w:val="28"/>
          <w:szCs w:val="28"/>
        </w:rPr>
        <w:t xml:space="preserve"> вправе в одностороннем порядке:</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 изменить условия договора (в части даты, времени, маршрута (изменение прямого маршрута на маршрут с пересадкой либо изменение пункта назначения на ближайший к первоначальному пункту назначения), типа воздушного судна).</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 отказаться от исполнения договора (отменить рейс) и возвратить уплаченную за воздушную перевозку пассажира провозную плату в порядке и сроки, которые установлены в настоящем Положении.</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В случае отказа перевозчика либо пассажира от воздушной перевозки обязательство перевозчика перевезти пассажира в пункт назначения, указанный в билете, прекращается, при этом перевозчик обязан в течение 3 лет с даты отправления рейса, указанного в билете, принять сумму оплаченной провозной платы в счет оплаты услуг по воздушной перевозке (в том числе по другим маршрутам воздушной перевозки) и дополнительных услуг перевозчика.</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Денежные средства, не использованные для оплаты услуг, вышеуказанных услуг, подлежат возврату пассажиру по истечении 3 лет с даты отправления рейса, указанного в билете.</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При этом, пунктом 10 Положения предусмотрены исключения из данного правила возврата уплаченных денежных средств пассажирам, признанным инвалидом I или II группы, а также ветеранам Великой Отечественной войны, лицам, сопровождающим инвалида I группы или ребенка-инвалида II группы, имеющим удостоверение многодетной семьи или иные документы, подтверждающие статус многодетной семьи в порядке, установленном нормативными правовыми актами субъектов Российской Федерации. Такие категории лиц вправе подать заявление о возврате провозной платы до истечения 3 лет с даты отправления рейса, указанного в билете, а также до даты воздушной перевозки, указанной в билете.</w:t>
      </w:r>
    </w:p>
    <w:p w:rsid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Положение применяется к договорам, подлежащим исполнению с 1 февраля 2020 г. по международным воздушным перевозкам с Китайской Народной Республикой, с 18 марта 2020 г. - по всем внутренним воздушным перевозкам и иным международным воздушным перевозкам, заключенным до 1 мая 2020 г.</w:t>
      </w:r>
    </w:p>
    <w:p w:rsidR="00A42FC8" w:rsidRDefault="00A42FC8" w:rsidP="00A42FC8">
      <w:pPr>
        <w:spacing w:after="0" w:line="240" w:lineRule="auto"/>
        <w:ind w:firstLine="851"/>
        <w:contextualSpacing/>
        <w:jc w:val="both"/>
        <w:rPr>
          <w:rFonts w:ascii="Times New Roman" w:hAnsi="Times New Roman"/>
          <w:sz w:val="28"/>
          <w:szCs w:val="28"/>
        </w:rPr>
      </w:pPr>
    </w:p>
    <w:p w:rsidR="00A42FC8" w:rsidRDefault="00A42FC8" w:rsidP="00A42FC8">
      <w:pPr>
        <w:spacing w:after="0" w:line="240" w:lineRule="auto"/>
        <w:ind w:firstLine="851"/>
        <w:contextualSpacing/>
        <w:jc w:val="both"/>
        <w:rPr>
          <w:rFonts w:ascii="Times New Roman" w:hAnsi="Times New Roman"/>
          <w:b/>
          <w:sz w:val="28"/>
          <w:szCs w:val="28"/>
        </w:rPr>
      </w:pPr>
      <w:r w:rsidRPr="00A42FC8">
        <w:rPr>
          <w:rFonts w:ascii="Times New Roman" w:hAnsi="Times New Roman"/>
          <w:b/>
          <w:sz w:val="28"/>
          <w:szCs w:val="28"/>
        </w:rPr>
        <w:t>Уголовная ответственность за незаконный оборот наркотиков</w:t>
      </w:r>
    </w:p>
    <w:p w:rsidR="00A42FC8" w:rsidRDefault="00A42FC8" w:rsidP="00A42FC8">
      <w:pPr>
        <w:spacing w:after="0" w:line="240" w:lineRule="auto"/>
        <w:ind w:firstLine="851"/>
        <w:contextualSpacing/>
        <w:jc w:val="both"/>
        <w:rPr>
          <w:rFonts w:ascii="Times New Roman" w:hAnsi="Times New Roman"/>
          <w:b/>
          <w:sz w:val="28"/>
          <w:szCs w:val="28"/>
        </w:rPr>
      </w:pP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 xml:space="preserve">Уголовным кодексом Российской Федерации, в частности главой 25 – «Преступления против здоровья населения и общественной нравственности» - </w:t>
      </w:r>
      <w:r w:rsidRPr="00A42FC8">
        <w:rPr>
          <w:rFonts w:ascii="Times New Roman" w:hAnsi="Times New Roman"/>
          <w:sz w:val="28"/>
          <w:szCs w:val="28"/>
        </w:rPr>
        <w:lastRenderedPageBreak/>
        <w:t>предусмотрен целый ряд статей, посвященных уголовной ответственности за незаконные приобретение, хранение, перевозку, изготовление, переработку наркотических средств, психотропных веществ или их аналогов, а также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 совершенные в значительном, крупном и особо крупном размере (</w:t>
      </w:r>
      <w:proofErr w:type="spellStart"/>
      <w:r w:rsidRPr="00A42FC8">
        <w:rPr>
          <w:rFonts w:ascii="Times New Roman" w:hAnsi="Times New Roman"/>
          <w:sz w:val="28"/>
          <w:szCs w:val="28"/>
        </w:rPr>
        <w:t>ст.ст</w:t>
      </w:r>
      <w:proofErr w:type="spellEnd"/>
      <w:r w:rsidRPr="00A42FC8">
        <w:rPr>
          <w:rFonts w:ascii="Times New Roman" w:hAnsi="Times New Roman"/>
          <w:sz w:val="28"/>
          <w:szCs w:val="28"/>
        </w:rPr>
        <w:t>. 228 – 233 Уголовного кодекса Российской Федерации).</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Ответственность за совершение данных преступлений вариативна: от назначения штрафа до пожизненного лишения свободы. Предусмотрен и ряд дополнительных наказаний, таких как лишение права занимать определенные должности или заниматься определенной деятельностью сроком до 20 лет.</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 xml:space="preserve">Уголовная ответственность за совершение преступлений в сфере незаконного оборота наркотиков наступает с 16 лет, однако ответственность за совершение преступления, предусмотренного ст. 229 УК РФ, а именно за хищение либо вымогательство наркотических средств или психотропных веществ, наступает с 14 лет. </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Лицо, совершившее преступление, предусмотренное ст. 228 УК РФ,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A42FC8" w:rsidRDefault="00A42FC8" w:rsidP="00A42FC8">
      <w:pPr>
        <w:spacing w:after="0" w:line="240" w:lineRule="auto"/>
        <w:ind w:firstLine="851"/>
        <w:contextualSpacing/>
        <w:jc w:val="both"/>
        <w:rPr>
          <w:rFonts w:ascii="Times New Roman" w:hAnsi="Times New Roman"/>
          <w:b/>
          <w:sz w:val="28"/>
          <w:szCs w:val="28"/>
        </w:rPr>
      </w:pPr>
      <w:r w:rsidRPr="00A42FC8">
        <w:rPr>
          <w:rFonts w:ascii="Times New Roman" w:hAnsi="Times New Roman"/>
          <w:sz w:val="28"/>
          <w:szCs w:val="28"/>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r w:rsidRPr="00A42FC8">
        <w:rPr>
          <w:rFonts w:ascii="Times New Roman" w:hAnsi="Times New Roman"/>
          <w:b/>
          <w:sz w:val="28"/>
          <w:szCs w:val="28"/>
        </w:rPr>
        <w:t>.</w:t>
      </w:r>
    </w:p>
    <w:p w:rsidR="00A42FC8" w:rsidRDefault="00A42FC8" w:rsidP="00A42FC8">
      <w:pPr>
        <w:spacing w:after="0" w:line="240" w:lineRule="auto"/>
        <w:ind w:firstLine="851"/>
        <w:contextualSpacing/>
        <w:jc w:val="both"/>
        <w:rPr>
          <w:rFonts w:ascii="Times New Roman" w:hAnsi="Times New Roman"/>
          <w:b/>
          <w:sz w:val="28"/>
          <w:szCs w:val="28"/>
        </w:rPr>
      </w:pPr>
    </w:p>
    <w:p w:rsidR="00A42FC8" w:rsidRDefault="00A42FC8" w:rsidP="00A42FC8">
      <w:pPr>
        <w:spacing w:after="0" w:line="240" w:lineRule="auto"/>
        <w:ind w:firstLine="851"/>
        <w:contextualSpacing/>
        <w:jc w:val="both"/>
        <w:rPr>
          <w:rFonts w:ascii="Times New Roman" w:hAnsi="Times New Roman"/>
          <w:b/>
          <w:sz w:val="28"/>
          <w:szCs w:val="28"/>
        </w:rPr>
      </w:pPr>
      <w:r>
        <w:rPr>
          <w:rFonts w:ascii="Times New Roman" w:hAnsi="Times New Roman"/>
          <w:b/>
          <w:sz w:val="28"/>
          <w:szCs w:val="28"/>
        </w:rPr>
        <w:t>Уголовная ответственность за экстремизм</w:t>
      </w:r>
    </w:p>
    <w:p w:rsidR="00A42FC8" w:rsidRDefault="00A42FC8" w:rsidP="00A42FC8">
      <w:pPr>
        <w:spacing w:after="0" w:line="240" w:lineRule="auto"/>
        <w:ind w:firstLine="851"/>
        <w:contextualSpacing/>
        <w:jc w:val="both"/>
        <w:rPr>
          <w:rFonts w:ascii="Times New Roman" w:hAnsi="Times New Roman"/>
          <w:b/>
          <w:sz w:val="28"/>
          <w:szCs w:val="28"/>
        </w:rPr>
      </w:pP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Экстремизм – комплексное понятие, то есть включает в себя большой спектр действий, подпадающих под рассматриваемое понятие. В частности, в понятие экстремизм включают (ст. 1 Федерального закона от 27.07.2000 № 114-ФЗ «О противодействии экстремистской деятельности»):</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lastRenderedPageBreak/>
        <w:t>насильственное нарушение действующего конституционного строя и порядка, а также сепаратизм или иные действия, направленные на изменение границ и нарушение территориальной или иной целостности Российской Федерации.</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ведение террористической деятельности, равно как и публичное оправдание таковой в любой форме.</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возбуждение ненависти или иной розни по признакам, характерным для группы лиц.</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пропаганда исключительности, либо напротив – неполноценности лица или группы лиц по определенным признакам.</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нарушение законных прав или наличествующих интересов лица, связанное с его конкретной социальной принадлежностью.</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препятствование гражданам в реализации наличествующих у них избирательных прав, а также попытки нарушения тайны голосования, если таковые сопрягались с насилием либо угрозой применения такового.</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препятствование работе и ведению деятельности государственных органов, если таковое было сопряжено с угрозой применения насилия или его фактическим применением.</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совершение любых иных преступлений имеющих в качестве мотивов ненависть либо вражду к какой-либо социальной группе по её признакам.</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публичное ношение и использование экстремистской символики или нацистских символов, равно как и их пропаганда.</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хранение или создание материалов с признаками экстремизма, а также призывы к осуществлению любой вышеозначенной экстремистской деятельности.</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высказывания, обвиняющие заведомо ложным образом деятелей РФ в совершении вышеозначенных действий.</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подстрекательские, подготовительные и организационные мероприятия, касающиеся осуществления действий экстремистского характера.</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финансирование или всякое прочее содействие в организации действий, указанных в данном перечне.</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В Уголовном кодексе Российской Федерации экстремизму отведено несколько статей, в частности: ст. 280, 282.1, 282.2 и 282.3. Ответственность наступает за публично высказываемые призывы к осуществлению любого из видов экстремистской деятельности, за организацию экстремистских сообществ, за деятельность официально зарегистрированных организаций, признанных судом экстремистскими, а также за финансирование экстремистской деятельности.</w:t>
      </w:r>
    </w:p>
    <w:p w:rsid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 xml:space="preserve">Наказание, предусмотренное за совершение вышеуказанных деяний, варьируется от штрафа до лишения свободы. Однако </w:t>
      </w:r>
      <w:proofErr w:type="spellStart"/>
      <w:r w:rsidRPr="00A42FC8">
        <w:rPr>
          <w:rFonts w:ascii="Times New Roman" w:hAnsi="Times New Roman"/>
          <w:sz w:val="28"/>
          <w:szCs w:val="28"/>
        </w:rPr>
        <w:t>ст.ст</w:t>
      </w:r>
      <w:proofErr w:type="spellEnd"/>
      <w:r w:rsidRPr="00A42FC8">
        <w:rPr>
          <w:rFonts w:ascii="Times New Roman" w:hAnsi="Times New Roman"/>
          <w:sz w:val="28"/>
          <w:szCs w:val="28"/>
        </w:rPr>
        <w:t xml:space="preserve">. 282.1 и 282.3 УК РФ предусматривают возможность освобождения от уголовной ответственности, если лицо, являющееся участником экстремистского сообщества, добровольно прекратит участие в нем, при условии, что за время участия в таком сообществе лицом не были совершены иные преступления, а также при сотрудничестве с </w:t>
      </w:r>
      <w:r w:rsidRPr="00A42FC8">
        <w:rPr>
          <w:rFonts w:ascii="Times New Roman" w:hAnsi="Times New Roman"/>
          <w:sz w:val="28"/>
          <w:szCs w:val="28"/>
        </w:rPr>
        <w:lastRenderedPageBreak/>
        <w:t>правоохранительными органами и добровольном прекращении финансирования деятельности экстремистских организаций.</w:t>
      </w:r>
    </w:p>
    <w:p w:rsidR="00A42FC8" w:rsidRDefault="00A42FC8" w:rsidP="00A42FC8">
      <w:pPr>
        <w:spacing w:after="0" w:line="240" w:lineRule="auto"/>
        <w:ind w:firstLine="851"/>
        <w:contextualSpacing/>
        <w:jc w:val="both"/>
        <w:rPr>
          <w:rFonts w:ascii="Times New Roman" w:hAnsi="Times New Roman"/>
          <w:sz w:val="28"/>
          <w:szCs w:val="28"/>
        </w:rPr>
      </w:pPr>
    </w:p>
    <w:p w:rsidR="00A42FC8" w:rsidRDefault="00A42FC8" w:rsidP="00A42FC8">
      <w:pPr>
        <w:spacing w:after="0" w:line="240" w:lineRule="auto"/>
        <w:ind w:firstLine="851"/>
        <w:contextualSpacing/>
        <w:jc w:val="both"/>
        <w:rPr>
          <w:rFonts w:ascii="Times New Roman" w:hAnsi="Times New Roman"/>
          <w:sz w:val="28"/>
          <w:szCs w:val="28"/>
        </w:rPr>
      </w:pPr>
    </w:p>
    <w:p w:rsidR="00A42FC8" w:rsidRPr="00A42FC8" w:rsidRDefault="00A42FC8" w:rsidP="00A42FC8">
      <w:pPr>
        <w:spacing w:after="0" w:line="240" w:lineRule="auto"/>
        <w:ind w:firstLine="851"/>
        <w:contextualSpacing/>
        <w:jc w:val="both"/>
        <w:rPr>
          <w:rFonts w:ascii="Times New Roman" w:hAnsi="Times New Roman"/>
          <w:b/>
          <w:sz w:val="28"/>
          <w:szCs w:val="28"/>
        </w:rPr>
      </w:pPr>
      <w:r w:rsidRPr="00A42FC8">
        <w:rPr>
          <w:rFonts w:ascii="Times New Roman" w:hAnsi="Times New Roman"/>
          <w:b/>
          <w:sz w:val="28"/>
          <w:szCs w:val="28"/>
        </w:rPr>
        <w:t>Об административной ответственности за совершение административного правонарушения в сфере незаконного оборота наркотиков</w:t>
      </w:r>
    </w:p>
    <w:p w:rsidR="00A42FC8" w:rsidRDefault="00A42FC8" w:rsidP="00A42FC8">
      <w:pPr>
        <w:spacing w:after="0" w:line="240" w:lineRule="auto"/>
        <w:ind w:firstLine="851"/>
        <w:contextualSpacing/>
        <w:jc w:val="both"/>
        <w:rPr>
          <w:rFonts w:ascii="Times New Roman" w:hAnsi="Times New Roman"/>
          <w:sz w:val="28"/>
          <w:szCs w:val="28"/>
        </w:rPr>
      </w:pP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Действующим федеральным законодательством предусмотрена не только уголовная, но и административная ответственность за нарушение порядка оборота наркотических средств и психотропных веществ.</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 xml:space="preserve">Кодексом об административных правонарушениях Российской Федерации предусмотрено наказание за потребление наркотиков без назначения врача, в общественных местах, за пропаганду либо незаконную рекламу наркотических средств, психотропных веществ или их </w:t>
      </w:r>
      <w:proofErr w:type="spellStart"/>
      <w:r w:rsidRPr="00A42FC8">
        <w:rPr>
          <w:rFonts w:ascii="Times New Roman" w:hAnsi="Times New Roman"/>
          <w:sz w:val="28"/>
          <w:szCs w:val="28"/>
        </w:rPr>
        <w:t>прекурсоров</w:t>
      </w:r>
      <w:proofErr w:type="spellEnd"/>
      <w:r w:rsidRPr="00A42FC8">
        <w:rPr>
          <w:rFonts w:ascii="Times New Roman" w:hAnsi="Times New Roman"/>
          <w:sz w:val="28"/>
          <w:szCs w:val="28"/>
        </w:rPr>
        <w:t xml:space="preserve"> (вещества, используемые для изготовления и переработки наркотических средств и психотропных веществ), непринятие мер по уничтожению дикорастущих растений, включенных в Перечень наркотических средств, психотропных веществ и их </w:t>
      </w:r>
      <w:proofErr w:type="spellStart"/>
      <w:r w:rsidRPr="00A42FC8">
        <w:rPr>
          <w:rFonts w:ascii="Times New Roman" w:hAnsi="Times New Roman"/>
          <w:sz w:val="28"/>
          <w:szCs w:val="28"/>
        </w:rPr>
        <w:t>прекурсоров</w:t>
      </w:r>
      <w:proofErr w:type="spellEnd"/>
      <w:r w:rsidRPr="00A42FC8">
        <w:rPr>
          <w:rFonts w:ascii="Times New Roman" w:hAnsi="Times New Roman"/>
          <w:sz w:val="28"/>
          <w:szCs w:val="28"/>
        </w:rPr>
        <w:t>, подлежащих контролю в Российской Федерации, установленный Постановлением Правительства Российской Федерации от 30 июня 1998 г. № 681, и дикорастущей конопли и т.д. (</w:t>
      </w:r>
      <w:proofErr w:type="spellStart"/>
      <w:r w:rsidRPr="00A42FC8">
        <w:rPr>
          <w:rFonts w:ascii="Times New Roman" w:hAnsi="Times New Roman"/>
          <w:sz w:val="28"/>
          <w:szCs w:val="28"/>
        </w:rPr>
        <w:t>ст.ст</w:t>
      </w:r>
      <w:proofErr w:type="spellEnd"/>
      <w:r w:rsidRPr="00A42FC8">
        <w:rPr>
          <w:rFonts w:ascii="Times New Roman" w:hAnsi="Times New Roman"/>
          <w:sz w:val="28"/>
          <w:szCs w:val="28"/>
        </w:rPr>
        <w:t>. 6.9, 20.20, 20.21, 20.22, 6.13, 6.15, 10.4, 10.5 КоАП РФ)</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Ответственность за совершение вышеуказанных административных правонарушений предусмотрена как для физических, так и для юридических лиц и варьируется от штрафа, до административного ареста или приостановления деятельности.</w:t>
      </w:r>
    </w:p>
    <w:p w:rsidR="00A42FC8" w:rsidRPr="00A42FC8" w:rsidRDefault="00A42FC8" w:rsidP="00A42FC8">
      <w:pPr>
        <w:spacing w:after="0" w:line="240" w:lineRule="auto"/>
        <w:ind w:firstLine="851"/>
        <w:contextualSpacing/>
        <w:jc w:val="both"/>
        <w:rPr>
          <w:rFonts w:ascii="Times New Roman" w:hAnsi="Times New Roman"/>
          <w:sz w:val="28"/>
          <w:szCs w:val="28"/>
        </w:rPr>
      </w:pPr>
      <w:r w:rsidRPr="00A42FC8">
        <w:rPr>
          <w:rFonts w:ascii="Times New Roman" w:hAnsi="Times New Roman"/>
          <w:sz w:val="28"/>
          <w:szCs w:val="28"/>
        </w:rPr>
        <w:t>Однако в соответствии с примечанием к ст. 6.9 КоАП РФ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данного примечания распространяется также на административные правонарушения, предусмотренные частью 2 ст. 20.20 КоАП РФ.</w:t>
      </w:r>
    </w:p>
    <w:sectPr w:rsidR="00A42FC8" w:rsidRPr="00A42FC8" w:rsidSect="00D8119B">
      <w:pgSz w:w="11906" w:h="16838"/>
      <w:pgMar w:top="1134" w:right="851"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1C4"/>
    <w:multiLevelType w:val="hybridMultilevel"/>
    <w:tmpl w:val="5E30F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1E13A0"/>
    <w:multiLevelType w:val="hybridMultilevel"/>
    <w:tmpl w:val="DC4617EE"/>
    <w:lvl w:ilvl="0" w:tplc="EE5E2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29810A1"/>
    <w:multiLevelType w:val="hybridMultilevel"/>
    <w:tmpl w:val="64848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1E5914"/>
    <w:multiLevelType w:val="hybridMultilevel"/>
    <w:tmpl w:val="25186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69068A"/>
    <w:multiLevelType w:val="hybridMultilevel"/>
    <w:tmpl w:val="1C6CB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302618"/>
    <w:multiLevelType w:val="hybridMultilevel"/>
    <w:tmpl w:val="0F28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27"/>
    <w:rsid w:val="00014AA9"/>
    <w:rsid w:val="00021F94"/>
    <w:rsid w:val="00041A63"/>
    <w:rsid w:val="0004353E"/>
    <w:rsid w:val="000639D2"/>
    <w:rsid w:val="000664DE"/>
    <w:rsid w:val="00090D2E"/>
    <w:rsid w:val="0009790F"/>
    <w:rsid w:val="000C1F87"/>
    <w:rsid w:val="000C4698"/>
    <w:rsid w:val="000F5034"/>
    <w:rsid w:val="000F5C71"/>
    <w:rsid w:val="001024CA"/>
    <w:rsid w:val="00125C6B"/>
    <w:rsid w:val="00126631"/>
    <w:rsid w:val="00126F81"/>
    <w:rsid w:val="001378A0"/>
    <w:rsid w:val="00145334"/>
    <w:rsid w:val="001524F3"/>
    <w:rsid w:val="00172A13"/>
    <w:rsid w:val="0019383E"/>
    <w:rsid w:val="001A33C5"/>
    <w:rsid w:val="001A7CEA"/>
    <w:rsid w:val="001B1809"/>
    <w:rsid w:val="001C03B9"/>
    <w:rsid w:val="001D0652"/>
    <w:rsid w:val="001D3557"/>
    <w:rsid w:val="001F0CE3"/>
    <w:rsid w:val="0021721C"/>
    <w:rsid w:val="0022242B"/>
    <w:rsid w:val="002301A8"/>
    <w:rsid w:val="002A02F6"/>
    <w:rsid w:val="002A59C8"/>
    <w:rsid w:val="002B0549"/>
    <w:rsid w:val="002F56FB"/>
    <w:rsid w:val="003033E3"/>
    <w:rsid w:val="0030447D"/>
    <w:rsid w:val="00306B9F"/>
    <w:rsid w:val="00316A6D"/>
    <w:rsid w:val="00316EAC"/>
    <w:rsid w:val="003338D2"/>
    <w:rsid w:val="00345474"/>
    <w:rsid w:val="00352BB7"/>
    <w:rsid w:val="003531F7"/>
    <w:rsid w:val="003552A4"/>
    <w:rsid w:val="003568E0"/>
    <w:rsid w:val="003657C7"/>
    <w:rsid w:val="00373932"/>
    <w:rsid w:val="00375E04"/>
    <w:rsid w:val="0038193A"/>
    <w:rsid w:val="003913E1"/>
    <w:rsid w:val="003B4EDC"/>
    <w:rsid w:val="003B6383"/>
    <w:rsid w:val="003E1B56"/>
    <w:rsid w:val="003E6FD3"/>
    <w:rsid w:val="003F603C"/>
    <w:rsid w:val="004002E6"/>
    <w:rsid w:val="00413127"/>
    <w:rsid w:val="00416F05"/>
    <w:rsid w:val="00426127"/>
    <w:rsid w:val="0042662F"/>
    <w:rsid w:val="00445549"/>
    <w:rsid w:val="004571CF"/>
    <w:rsid w:val="00465C25"/>
    <w:rsid w:val="00466022"/>
    <w:rsid w:val="00475EA6"/>
    <w:rsid w:val="004825B2"/>
    <w:rsid w:val="004B1FAC"/>
    <w:rsid w:val="004C4435"/>
    <w:rsid w:val="004C6E5E"/>
    <w:rsid w:val="004D2EB9"/>
    <w:rsid w:val="004E6F29"/>
    <w:rsid w:val="004F2445"/>
    <w:rsid w:val="00512A85"/>
    <w:rsid w:val="00515080"/>
    <w:rsid w:val="00530408"/>
    <w:rsid w:val="00531CC3"/>
    <w:rsid w:val="005365E4"/>
    <w:rsid w:val="00536AF6"/>
    <w:rsid w:val="00536E95"/>
    <w:rsid w:val="00540C59"/>
    <w:rsid w:val="00540D20"/>
    <w:rsid w:val="005442D5"/>
    <w:rsid w:val="0055229A"/>
    <w:rsid w:val="00582403"/>
    <w:rsid w:val="005830F4"/>
    <w:rsid w:val="00584CF8"/>
    <w:rsid w:val="00591BB7"/>
    <w:rsid w:val="005961E9"/>
    <w:rsid w:val="005A1F95"/>
    <w:rsid w:val="005B26E4"/>
    <w:rsid w:val="005E41D7"/>
    <w:rsid w:val="005F6CD1"/>
    <w:rsid w:val="006206D1"/>
    <w:rsid w:val="00630DF8"/>
    <w:rsid w:val="00632BCE"/>
    <w:rsid w:val="00634E4E"/>
    <w:rsid w:val="006450D7"/>
    <w:rsid w:val="00646458"/>
    <w:rsid w:val="00676759"/>
    <w:rsid w:val="00693C3E"/>
    <w:rsid w:val="006A0799"/>
    <w:rsid w:val="006A783A"/>
    <w:rsid w:val="006B1690"/>
    <w:rsid w:val="006B607B"/>
    <w:rsid w:val="006C3C24"/>
    <w:rsid w:val="006D20AE"/>
    <w:rsid w:val="006D6DE9"/>
    <w:rsid w:val="006E5BD3"/>
    <w:rsid w:val="006E6C2C"/>
    <w:rsid w:val="006F7135"/>
    <w:rsid w:val="00700007"/>
    <w:rsid w:val="00705F7E"/>
    <w:rsid w:val="0070632A"/>
    <w:rsid w:val="00717BA2"/>
    <w:rsid w:val="007358DB"/>
    <w:rsid w:val="00744118"/>
    <w:rsid w:val="00750643"/>
    <w:rsid w:val="00751D15"/>
    <w:rsid w:val="0075434A"/>
    <w:rsid w:val="007728E8"/>
    <w:rsid w:val="007A1E7C"/>
    <w:rsid w:val="007A63B8"/>
    <w:rsid w:val="007B54BE"/>
    <w:rsid w:val="007C4B75"/>
    <w:rsid w:val="007D3AAC"/>
    <w:rsid w:val="007D4A6A"/>
    <w:rsid w:val="00800A57"/>
    <w:rsid w:val="0083518B"/>
    <w:rsid w:val="00835829"/>
    <w:rsid w:val="00845171"/>
    <w:rsid w:val="00847509"/>
    <w:rsid w:val="008712B2"/>
    <w:rsid w:val="00873360"/>
    <w:rsid w:val="0087705F"/>
    <w:rsid w:val="008B2967"/>
    <w:rsid w:val="008B298A"/>
    <w:rsid w:val="008B72F1"/>
    <w:rsid w:val="008C14D3"/>
    <w:rsid w:val="008C315F"/>
    <w:rsid w:val="008D465C"/>
    <w:rsid w:val="008D5EC9"/>
    <w:rsid w:val="008E6549"/>
    <w:rsid w:val="00905190"/>
    <w:rsid w:val="0092479A"/>
    <w:rsid w:val="00926393"/>
    <w:rsid w:val="009346BB"/>
    <w:rsid w:val="00935167"/>
    <w:rsid w:val="00942E1E"/>
    <w:rsid w:val="009571F8"/>
    <w:rsid w:val="00966AA4"/>
    <w:rsid w:val="009939A0"/>
    <w:rsid w:val="009A1C44"/>
    <w:rsid w:val="009D0DE1"/>
    <w:rsid w:val="009D57C7"/>
    <w:rsid w:val="009F54B9"/>
    <w:rsid w:val="00A2006A"/>
    <w:rsid w:val="00A36DAB"/>
    <w:rsid w:val="00A4020A"/>
    <w:rsid w:val="00A42FC8"/>
    <w:rsid w:val="00A505BE"/>
    <w:rsid w:val="00A54E16"/>
    <w:rsid w:val="00A57215"/>
    <w:rsid w:val="00A60A6B"/>
    <w:rsid w:val="00A769F1"/>
    <w:rsid w:val="00A80D6D"/>
    <w:rsid w:val="00A91601"/>
    <w:rsid w:val="00AC34A6"/>
    <w:rsid w:val="00AC4AEA"/>
    <w:rsid w:val="00AE1A37"/>
    <w:rsid w:val="00AF65D7"/>
    <w:rsid w:val="00B330A2"/>
    <w:rsid w:val="00B338D2"/>
    <w:rsid w:val="00B579C9"/>
    <w:rsid w:val="00B9042B"/>
    <w:rsid w:val="00BB0585"/>
    <w:rsid w:val="00BD07F9"/>
    <w:rsid w:val="00BD2079"/>
    <w:rsid w:val="00BD686D"/>
    <w:rsid w:val="00BE642F"/>
    <w:rsid w:val="00BF29B0"/>
    <w:rsid w:val="00C0426C"/>
    <w:rsid w:val="00C14E3E"/>
    <w:rsid w:val="00C16621"/>
    <w:rsid w:val="00C16DBA"/>
    <w:rsid w:val="00C22164"/>
    <w:rsid w:val="00C321AA"/>
    <w:rsid w:val="00C412DE"/>
    <w:rsid w:val="00C61E49"/>
    <w:rsid w:val="00C80488"/>
    <w:rsid w:val="00C804FA"/>
    <w:rsid w:val="00C83BBE"/>
    <w:rsid w:val="00C8577E"/>
    <w:rsid w:val="00C90905"/>
    <w:rsid w:val="00C90DB4"/>
    <w:rsid w:val="00CA43B2"/>
    <w:rsid w:val="00CA6B68"/>
    <w:rsid w:val="00CB55F7"/>
    <w:rsid w:val="00CB6CFC"/>
    <w:rsid w:val="00CD7D2D"/>
    <w:rsid w:val="00CE5C23"/>
    <w:rsid w:val="00CF1C7B"/>
    <w:rsid w:val="00CF588A"/>
    <w:rsid w:val="00D01C57"/>
    <w:rsid w:val="00D02D8E"/>
    <w:rsid w:val="00D0769D"/>
    <w:rsid w:val="00D1079A"/>
    <w:rsid w:val="00D12550"/>
    <w:rsid w:val="00D15FBC"/>
    <w:rsid w:val="00D1634F"/>
    <w:rsid w:val="00D16CFD"/>
    <w:rsid w:val="00D17AD5"/>
    <w:rsid w:val="00D17CF0"/>
    <w:rsid w:val="00D2320C"/>
    <w:rsid w:val="00D33B27"/>
    <w:rsid w:val="00D359F3"/>
    <w:rsid w:val="00D41784"/>
    <w:rsid w:val="00D45848"/>
    <w:rsid w:val="00D66106"/>
    <w:rsid w:val="00D7036A"/>
    <w:rsid w:val="00D70D3B"/>
    <w:rsid w:val="00D76BBC"/>
    <w:rsid w:val="00D8119B"/>
    <w:rsid w:val="00DB6C5C"/>
    <w:rsid w:val="00DC38CB"/>
    <w:rsid w:val="00DC49C8"/>
    <w:rsid w:val="00DE7652"/>
    <w:rsid w:val="00E1460F"/>
    <w:rsid w:val="00E27019"/>
    <w:rsid w:val="00E36A86"/>
    <w:rsid w:val="00E51047"/>
    <w:rsid w:val="00E51804"/>
    <w:rsid w:val="00E541F5"/>
    <w:rsid w:val="00E55F5B"/>
    <w:rsid w:val="00E56047"/>
    <w:rsid w:val="00E67736"/>
    <w:rsid w:val="00E8176D"/>
    <w:rsid w:val="00EA152B"/>
    <w:rsid w:val="00EB35B5"/>
    <w:rsid w:val="00EB6782"/>
    <w:rsid w:val="00EC7B31"/>
    <w:rsid w:val="00ED4D37"/>
    <w:rsid w:val="00EE54F3"/>
    <w:rsid w:val="00F0242D"/>
    <w:rsid w:val="00F12126"/>
    <w:rsid w:val="00F264F0"/>
    <w:rsid w:val="00F329C0"/>
    <w:rsid w:val="00F33C2C"/>
    <w:rsid w:val="00F40EA9"/>
    <w:rsid w:val="00F43DD4"/>
    <w:rsid w:val="00F66AD4"/>
    <w:rsid w:val="00F72ADA"/>
    <w:rsid w:val="00FB1618"/>
    <w:rsid w:val="00FD1A98"/>
    <w:rsid w:val="00FD710B"/>
    <w:rsid w:val="00FF14A4"/>
    <w:rsid w:val="00FF2583"/>
    <w:rsid w:val="00FF264D"/>
    <w:rsid w:val="00FF4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A4FAFC-9E05-4115-B596-ADC71BA2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BA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D3B"/>
    <w:rPr>
      <w:rFonts w:ascii="Times New Roman" w:eastAsia="Times New Roman" w:hAnsi="Times New Roman"/>
      <w:sz w:val="24"/>
      <w:szCs w:val="24"/>
    </w:rPr>
  </w:style>
  <w:style w:type="character" w:customStyle="1" w:styleId="23">
    <w:name w:val="Основной текст23"/>
    <w:rsid w:val="007D3AAC"/>
    <w:rPr>
      <w:rFonts w:ascii="Times New Roman" w:eastAsia="Times New Roman" w:hAnsi="Times New Roman" w:cs="Times New Roman"/>
      <w:b w:val="0"/>
      <w:bCs w:val="0"/>
      <w:i w:val="0"/>
      <w:iCs w:val="0"/>
      <w:smallCaps w:val="0"/>
      <w:strike w:val="0"/>
      <w:spacing w:val="0"/>
      <w:sz w:val="26"/>
      <w:szCs w:val="26"/>
      <w:shd w:val="clear" w:color="auto" w:fill="FFFFFF"/>
      <w:lang w:bidi="ar-SA"/>
    </w:rPr>
  </w:style>
  <w:style w:type="character" w:customStyle="1" w:styleId="32">
    <w:name w:val="Основной текст32"/>
    <w:rsid w:val="007D3AAC"/>
    <w:rPr>
      <w:rFonts w:ascii="Times New Roman" w:eastAsia="Times New Roman" w:hAnsi="Times New Roman" w:cs="Times New Roman"/>
      <w:b w:val="0"/>
      <w:bCs w:val="0"/>
      <w:i w:val="0"/>
      <w:iCs w:val="0"/>
      <w:smallCaps w:val="0"/>
      <w:strike w:val="0"/>
      <w:spacing w:val="0"/>
      <w:sz w:val="26"/>
      <w:szCs w:val="26"/>
    </w:rPr>
  </w:style>
  <w:style w:type="paragraph" w:customStyle="1" w:styleId="Style3">
    <w:name w:val="Style3"/>
    <w:basedOn w:val="a"/>
    <w:rsid w:val="007D3AAC"/>
    <w:pPr>
      <w:widowControl w:val="0"/>
      <w:autoSpaceDE w:val="0"/>
      <w:autoSpaceDN w:val="0"/>
      <w:adjustRightInd w:val="0"/>
      <w:spacing w:after="0" w:line="324" w:lineRule="exact"/>
      <w:ind w:firstLine="686"/>
      <w:jc w:val="both"/>
    </w:pPr>
    <w:rPr>
      <w:rFonts w:ascii="Times New Roman" w:hAnsi="Times New Roman"/>
      <w:sz w:val="24"/>
      <w:szCs w:val="24"/>
      <w:lang w:eastAsia="ru-RU"/>
    </w:rPr>
  </w:style>
  <w:style w:type="character" w:customStyle="1" w:styleId="FontStyle26">
    <w:name w:val="Font Style26"/>
    <w:rsid w:val="007D3AAC"/>
    <w:rPr>
      <w:rFonts w:ascii="Times New Roman" w:hAnsi="Times New Roman" w:cs="Times New Roman"/>
      <w:sz w:val="26"/>
      <w:szCs w:val="26"/>
    </w:rPr>
  </w:style>
  <w:style w:type="character" w:customStyle="1" w:styleId="hps">
    <w:name w:val="hps"/>
    <w:rsid w:val="00E27019"/>
  </w:style>
  <w:style w:type="character" w:customStyle="1" w:styleId="1">
    <w:name w:val="Основной текст1"/>
    <w:rsid w:val="00EB6782"/>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26"/>
    <w:rsid w:val="00EB6782"/>
    <w:rPr>
      <w:rFonts w:ascii="Times New Roman" w:hAnsi="Times New Roman"/>
      <w:sz w:val="27"/>
      <w:szCs w:val="27"/>
      <w:shd w:val="clear" w:color="auto" w:fill="FFFFFF"/>
    </w:rPr>
  </w:style>
  <w:style w:type="paragraph" w:customStyle="1" w:styleId="26">
    <w:name w:val="Основной текст26"/>
    <w:basedOn w:val="a"/>
    <w:link w:val="a4"/>
    <w:rsid w:val="00EB6782"/>
    <w:pPr>
      <w:shd w:val="clear" w:color="auto" w:fill="FFFFFF"/>
      <w:spacing w:after="180" w:line="230" w:lineRule="exact"/>
    </w:pPr>
    <w:rPr>
      <w:rFonts w:ascii="Times New Roman" w:hAnsi="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DD159-3531-4DD5-B282-D455537E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4065</Words>
  <Characters>23175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Виноградова Инга Викторовна</cp:lastModifiedBy>
  <cp:revision>2</cp:revision>
  <cp:lastPrinted>2019-11-07T09:30:00Z</cp:lastPrinted>
  <dcterms:created xsi:type="dcterms:W3CDTF">2020-10-29T12:16:00Z</dcterms:created>
  <dcterms:modified xsi:type="dcterms:W3CDTF">2020-10-29T12:16:00Z</dcterms:modified>
</cp:coreProperties>
</file>